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9C883" w14:textId="29491DCB" w:rsidR="0002221A" w:rsidRDefault="00000000">
      <w:pPr>
        <w:pStyle w:val="110"/>
        <w:keepNext/>
        <w:keepLines/>
        <w:rPr>
          <w:lang w:eastAsia="ja-JP"/>
        </w:rPr>
      </w:pPr>
      <w:bookmarkStart w:id="0" w:name="bookmark0"/>
      <w:r>
        <w:rPr>
          <w:rStyle w:val="11"/>
          <w:b/>
          <w:bCs/>
          <w:lang w:eastAsia="ja-JP"/>
        </w:rPr>
        <w:t>○○クリニック医薬品安全使用のための業務手順書</w:t>
      </w:r>
      <w:bookmarkEnd w:id="0"/>
    </w:p>
    <w:p w14:paraId="7A4E247A" w14:textId="77777777" w:rsidR="0002221A" w:rsidRDefault="00000000">
      <w:pPr>
        <w:pStyle w:val="10"/>
        <w:spacing w:after="140" w:line="240" w:lineRule="auto"/>
        <w:ind w:firstLine="680"/>
        <w:jc w:val="both"/>
      </w:pPr>
      <w:r>
        <w:rPr>
          <w:rStyle w:val="1"/>
        </w:rPr>
        <w:t>(院内・院外により適宜加除してご利用ください)</w:t>
      </w:r>
    </w:p>
    <w:p w14:paraId="22DA42D3" w14:textId="77777777" w:rsidR="0002221A" w:rsidRDefault="00000000">
      <w:pPr>
        <w:pStyle w:val="210"/>
        <w:keepNext/>
        <w:keepLines/>
        <w:numPr>
          <w:ilvl w:val="0"/>
          <w:numId w:val="1"/>
        </w:numPr>
        <w:tabs>
          <w:tab w:val="left" w:pos="502"/>
        </w:tabs>
        <w:jc w:val="both"/>
      </w:pPr>
      <w:bookmarkStart w:id="1" w:name="bookmark2"/>
      <w:r>
        <w:rPr>
          <w:rStyle w:val="21"/>
          <w:b/>
          <w:bCs/>
        </w:rPr>
        <w:t>医薬品情報の収集・検討・選定(購入)</w:t>
      </w:r>
      <w:bookmarkEnd w:id="1"/>
    </w:p>
    <w:p w14:paraId="2A425EB6" w14:textId="76409167" w:rsidR="0002221A" w:rsidRDefault="00000000" w:rsidP="00994EDD">
      <w:pPr>
        <w:pStyle w:val="10"/>
        <w:spacing w:line="250" w:lineRule="exact"/>
        <w:ind w:left="360" w:firstLine="0"/>
        <w:jc w:val="both"/>
      </w:pPr>
      <w:r>
        <w:rPr>
          <w:rStyle w:val="1"/>
        </w:rPr>
        <w:t>医薬品の選定(購入)にあたっては,広く医薬品情報を収集し,自院や自院の患者の特性にあった医薬品の選定(購入)を行う.</w:t>
      </w:r>
    </w:p>
    <w:p w14:paraId="4F383F96" w14:textId="77777777" w:rsidR="0002221A" w:rsidRDefault="00000000">
      <w:pPr>
        <w:pStyle w:val="10"/>
        <w:spacing w:line="250" w:lineRule="exact"/>
        <w:ind w:left="180"/>
        <w:jc w:val="both"/>
      </w:pPr>
      <w:r>
        <w:rPr>
          <w:rStyle w:val="1"/>
        </w:rPr>
        <w:t>尚,その際,安全性や誤投薬防止の観点等から,特に下記の点に注意をする.</w:t>
      </w:r>
    </w:p>
    <w:p w14:paraId="3BEC44AB" w14:textId="77777777" w:rsidR="0002221A" w:rsidRDefault="00000000">
      <w:pPr>
        <w:pStyle w:val="10"/>
        <w:spacing w:line="250" w:lineRule="exact"/>
        <w:ind w:left="180"/>
        <w:jc w:val="both"/>
      </w:pPr>
      <w:r>
        <w:rPr>
          <w:rStyle w:val="1"/>
        </w:rPr>
        <w:t>・類似名称や類似外観,形状の薬の採用は避ける.</w:t>
      </w:r>
    </w:p>
    <w:p w14:paraId="72133287" w14:textId="0E74E5C0" w:rsidR="0002221A" w:rsidRDefault="00000000">
      <w:pPr>
        <w:pStyle w:val="10"/>
        <w:spacing w:line="250" w:lineRule="exact"/>
        <w:ind w:left="560" w:firstLine="0"/>
        <w:jc w:val="both"/>
      </w:pPr>
      <w:r>
        <w:rPr>
          <w:rStyle w:val="1"/>
        </w:rPr>
        <w:t>止むを得ず採用しなければならない際には,職員にも分かりやすい識別表を作成したり保管場所を明確に分けるなど,特に注意をする.</w:t>
      </w:r>
    </w:p>
    <w:p w14:paraId="65866026" w14:textId="77777777" w:rsidR="0002221A" w:rsidRDefault="00000000">
      <w:pPr>
        <w:pStyle w:val="10"/>
        <w:spacing w:line="250" w:lineRule="exact"/>
        <w:ind w:firstLine="360"/>
        <w:jc w:val="both"/>
      </w:pPr>
      <w:r>
        <w:rPr>
          <w:rStyle w:val="1"/>
        </w:rPr>
        <w:t>・採用医薬品情報を作成し,掲示するなどして,全職員に情報を提供する.</w:t>
      </w:r>
    </w:p>
    <w:p w14:paraId="6F237C6D" w14:textId="77777777" w:rsidR="0002221A" w:rsidRDefault="00000000">
      <w:pPr>
        <w:pStyle w:val="10"/>
        <w:spacing w:line="250" w:lineRule="exact"/>
        <w:ind w:firstLine="360"/>
        <w:jc w:val="both"/>
      </w:pPr>
      <w:r>
        <w:rPr>
          <w:rStyle w:val="1"/>
        </w:rPr>
        <w:t>・購入した医薬品の品目,規格,数量等が合致しているか,発注伝票に基づき確認をする.</w:t>
      </w:r>
    </w:p>
    <w:p w14:paraId="3F694DA5" w14:textId="47139D8E" w:rsidR="0002221A" w:rsidRDefault="00000000">
      <w:pPr>
        <w:pStyle w:val="10"/>
        <w:spacing w:after="240" w:line="250" w:lineRule="exact"/>
        <w:ind w:left="560" w:hanging="200"/>
        <w:jc w:val="both"/>
      </w:pPr>
      <w:r>
        <w:rPr>
          <w:rStyle w:val="1"/>
        </w:rPr>
        <w:t>・麻薬,向精神薬,毒薬,劇薬等,規制医薬品や特定生物由来製品は,特に注意をし,厚生労働省麻薬対策課発行の「病院・診療所における麻薬管理マニュアル」に従った譲受け・ 譲渡しを行う.</w:t>
      </w:r>
    </w:p>
    <w:p w14:paraId="45D48A15" w14:textId="77777777" w:rsidR="0002221A" w:rsidRDefault="00000000">
      <w:pPr>
        <w:pStyle w:val="210"/>
        <w:keepNext/>
        <w:keepLines/>
        <w:numPr>
          <w:ilvl w:val="0"/>
          <w:numId w:val="1"/>
        </w:numPr>
        <w:tabs>
          <w:tab w:val="left" w:pos="502"/>
        </w:tabs>
        <w:jc w:val="both"/>
      </w:pPr>
      <w:bookmarkStart w:id="2" w:name="bookmark4"/>
      <w:r>
        <w:rPr>
          <w:rStyle w:val="21"/>
          <w:b/>
          <w:bCs/>
        </w:rPr>
        <w:t>採用した医薬品の管理と職員への医薬品情報の提供</w:t>
      </w:r>
      <w:bookmarkEnd w:id="2"/>
    </w:p>
    <w:p w14:paraId="05C22AFD" w14:textId="77777777" w:rsidR="0002221A" w:rsidRDefault="00000000">
      <w:pPr>
        <w:pStyle w:val="10"/>
        <w:spacing w:line="250" w:lineRule="exact"/>
        <w:ind w:firstLine="360"/>
      </w:pPr>
      <w:r>
        <w:rPr>
          <w:rStyle w:val="1"/>
        </w:rPr>
        <w:t>・医薬品棚は取り違いの防止や在庫管理が容易に行えるよう,常時適切に配置する.</w:t>
      </w:r>
    </w:p>
    <w:p w14:paraId="04F7D9D8" w14:textId="77777777" w:rsidR="0002221A" w:rsidRDefault="00000000" w:rsidP="000032E4">
      <w:pPr>
        <w:pStyle w:val="10"/>
        <w:spacing w:line="250" w:lineRule="exact"/>
        <w:ind w:leftChars="150" w:left="460" w:hangingChars="50" w:hanging="100"/>
      </w:pPr>
      <w:r>
        <w:rPr>
          <w:rStyle w:val="1"/>
        </w:rPr>
        <w:t>・同一医薬品で規格が複数あるものや名称,外観が類似したものを把握し,注意を表記する.</w:t>
      </w:r>
    </w:p>
    <w:p w14:paraId="336CF435" w14:textId="359EAB47" w:rsidR="0002221A" w:rsidRDefault="00000000">
      <w:pPr>
        <w:pStyle w:val="10"/>
        <w:spacing w:line="250" w:lineRule="exact"/>
        <w:ind w:left="560" w:hanging="200"/>
        <w:jc w:val="both"/>
      </w:pPr>
      <w:r>
        <w:rPr>
          <w:rStyle w:val="1"/>
        </w:rPr>
        <w:t>・採用した医薬品については取り扱い事項,効能,効果,副作用等を確認し,職員間で情報の共有化を行う.</w:t>
      </w:r>
    </w:p>
    <w:p w14:paraId="75E16CB1" w14:textId="76B1BEF1" w:rsidR="0002221A" w:rsidRDefault="00000000">
      <w:pPr>
        <w:pStyle w:val="10"/>
        <w:spacing w:line="250" w:lineRule="exact"/>
        <w:ind w:left="560" w:hanging="200"/>
        <w:jc w:val="both"/>
      </w:pPr>
      <w:r>
        <w:rPr>
          <w:rStyle w:val="1"/>
        </w:rPr>
        <w:t>・規制医薬品は金庫等に保管して,常時施錠する等,特に盗難や紛失防止に注意をし,厚生労働省麻薬対策課発行の「病院・診療所における麻薬管理マニュアル」等に従った保管管理を行う.</w:t>
      </w:r>
    </w:p>
    <w:p w14:paraId="6413C187" w14:textId="0B3E4193" w:rsidR="0002221A" w:rsidRDefault="00000000" w:rsidP="00994EDD">
      <w:pPr>
        <w:pStyle w:val="10"/>
        <w:spacing w:line="250" w:lineRule="exact"/>
        <w:ind w:leftChars="150" w:left="560" w:hangingChars="100" w:hanging="200"/>
      </w:pPr>
      <w:r>
        <w:rPr>
          <w:rStyle w:val="1"/>
        </w:rPr>
        <w:t>・医薬品はそれぞれ保管条件や管理方法,有効期限が異なるので十分に注意をし,管理する.</w:t>
      </w:r>
    </w:p>
    <w:p w14:paraId="64F4425D" w14:textId="6E666536" w:rsidR="0002221A" w:rsidRDefault="00000000">
      <w:pPr>
        <w:pStyle w:val="10"/>
        <w:spacing w:line="250" w:lineRule="exact"/>
        <w:ind w:left="560" w:hanging="200"/>
        <w:jc w:val="both"/>
      </w:pPr>
      <w:r>
        <w:rPr>
          <w:rStyle w:val="1"/>
        </w:rPr>
        <w:t>・処置薬には,開封日や調整日(希釈日),開封後の期限等を記載し,変質や汚染などに注意をし,定期的に交換を行って,つぎ足しを行わない.</w:t>
      </w:r>
    </w:p>
    <w:p w14:paraId="09A2E053" w14:textId="77777777" w:rsidR="0002221A" w:rsidRDefault="00000000">
      <w:pPr>
        <w:pStyle w:val="10"/>
        <w:spacing w:after="240" w:line="250" w:lineRule="exact"/>
        <w:ind w:left="560" w:hanging="200"/>
        <w:jc w:val="both"/>
      </w:pPr>
      <w:r>
        <w:rPr>
          <w:rStyle w:val="1"/>
        </w:rPr>
        <w:t>・これらを徹底させるため,院内に医薬品保管管理者の選定を行う.</w:t>
      </w:r>
    </w:p>
    <w:p w14:paraId="48849144" w14:textId="77777777" w:rsidR="0002221A" w:rsidRDefault="00000000">
      <w:pPr>
        <w:pStyle w:val="210"/>
        <w:keepNext/>
        <w:keepLines/>
        <w:numPr>
          <w:ilvl w:val="0"/>
          <w:numId w:val="1"/>
        </w:numPr>
        <w:tabs>
          <w:tab w:val="left" w:pos="502"/>
        </w:tabs>
        <w:jc w:val="both"/>
      </w:pPr>
      <w:bookmarkStart w:id="3" w:name="bookmark6"/>
      <w:r>
        <w:rPr>
          <w:rStyle w:val="21"/>
          <w:b/>
          <w:bCs/>
        </w:rPr>
        <w:t>外来患者へ医薬品を使用するにあたって</w:t>
      </w:r>
      <w:bookmarkEnd w:id="3"/>
    </w:p>
    <w:p w14:paraId="20C5B1A0" w14:textId="77777777" w:rsidR="0002221A" w:rsidRDefault="00000000">
      <w:pPr>
        <w:pStyle w:val="10"/>
        <w:spacing w:line="250" w:lineRule="exact"/>
        <w:jc w:val="both"/>
        <w:rPr>
          <w:sz w:val="22"/>
          <w:szCs w:val="22"/>
        </w:rPr>
      </w:pPr>
      <w:r>
        <w:rPr>
          <w:rStyle w:val="1"/>
          <w:sz w:val="22"/>
          <w:szCs w:val="22"/>
          <w:lang w:val="en-US" w:bidi="en-US"/>
        </w:rPr>
        <w:t xml:space="preserve">３－１ </w:t>
      </w:r>
      <w:r>
        <w:rPr>
          <w:rStyle w:val="1"/>
          <w:sz w:val="22"/>
          <w:szCs w:val="22"/>
        </w:rPr>
        <w:t>患者情報の収集</w:t>
      </w:r>
    </w:p>
    <w:p w14:paraId="5B3C0B62" w14:textId="56903DFB" w:rsidR="0002221A" w:rsidRDefault="00000000">
      <w:pPr>
        <w:pStyle w:val="10"/>
        <w:spacing w:line="250" w:lineRule="exact"/>
        <w:ind w:left="560" w:hanging="200"/>
        <w:jc w:val="both"/>
      </w:pPr>
      <w:r>
        <w:rPr>
          <w:rStyle w:val="1"/>
        </w:rPr>
        <w:t>・アンケートや問診等により,事前に既往歴,妊娠,授乳,副作用歴,アレルギー歴等の確認を行う.</w:t>
      </w:r>
    </w:p>
    <w:p w14:paraId="298D9AA6" w14:textId="77777777" w:rsidR="0002221A" w:rsidRDefault="00000000">
      <w:pPr>
        <w:pStyle w:val="10"/>
        <w:spacing w:line="250" w:lineRule="exact"/>
        <w:ind w:left="560" w:hanging="200"/>
        <w:jc w:val="both"/>
      </w:pPr>
      <w:r>
        <w:rPr>
          <w:rStyle w:val="1"/>
        </w:rPr>
        <w:t>・他科受診の有無や市販薬,健康飲料,健康食品の摂取状況の確認.</w:t>
      </w:r>
    </w:p>
    <w:p w14:paraId="3872A94C" w14:textId="77777777" w:rsidR="0002221A" w:rsidRDefault="00000000">
      <w:pPr>
        <w:pStyle w:val="10"/>
        <w:spacing w:line="250" w:lineRule="exact"/>
        <w:ind w:firstLine="360"/>
      </w:pPr>
      <w:r>
        <w:rPr>
          <w:rStyle w:val="1"/>
        </w:rPr>
        <w:t>・嗜好(タバコ,アルコール等)の確認.</w:t>
      </w:r>
    </w:p>
    <w:p w14:paraId="21D59E08" w14:textId="77777777" w:rsidR="0002221A" w:rsidRDefault="00000000">
      <w:pPr>
        <w:pStyle w:val="10"/>
        <w:spacing w:line="250" w:lineRule="exact"/>
        <w:jc w:val="both"/>
        <w:rPr>
          <w:sz w:val="22"/>
          <w:szCs w:val="22"/>
        </w:rPr>
      </w:pPr>
      <w:r>
        <w:rPr>
          <w:rStyle w:val="1"/>
          <w:sz w:val="22"/>
          <w:szCs w:val="22"/>
          <w:lang w:val="en-US" w:bidi="en-US"/>
        </w:rPr>
        <w:t xml:space="preserve">３－２ </w:t>
      </w:r>
      <w:r>
        <w:rPr>
          <w:rStyle w:val="1"/>
          <w:sz w:val="22"/>
          <w:szCs w:val="22"/>
        </w:rPr>
        <w:t>患者情報の管理</w:t>
      </w:r>
    </w:p>
    <w:p w14:paraId="1B1C4F15" w14:textId="77777777" w:rsidR="0002221A" w:rsidRDefault="00000000">
      <w:pPr>
        <w:pStyle w:val="10"/>
        <w:spacing w:line="250" w:lineRule="exact"/>
        <w:ind w:firstLine="360"/>
        <w:jc w:val="both"/>
      </w:pPr>
      <w:r>
        <w:rPr>
          <w:rStyle w:val="1"/>
        </w:rPr>
        <w:t>・診療録への記載.</w:t>
      </w:r>
    </w:p>
    <w:p w14:paraId="2812989F" w14:textId="77777777" w:rsidR="0002221A" w:rsidRDefault="00000000">
      <w:pPr>
        <w:pStyle w:val="10"/>
        <w:spacing w:line="250" w:lineRule="exact"/>
        <w:ind w:firstLine="360"/>
        <w:jc w:val="both"/>
      </w:pPr>
      <w:r>
        <w:rPr>
          <w:rStyle w:val="1"/>
        </w:rPr>
        <w:t>・お薬手帳等を活用した薬歴管理.</w:t>
      </w:r>
    </w:p>
    <w:p w14:paraId="6C75C3E1" w14:textId="77777777" w:rsidR="0002221A" w:rsidRDefault="00000000">
      <w:pPr>
        <w:pStyle w:val="10"/>
        <w:spacing w:after="240" w:line="250" w:lineRule="exact"/>
        <w:ind w:firstLine="360"/>
        <w:jc w:val="both"/>
      </w:pPr>
      <w:r>
        <w:rPr>
          <w:rStyle w:val="1"/>
        </w:rPr>
        <w:t>・職種間における情報の共有.</w:t>
      </w:r>
    </w:p>
    <w:p w14:paraId="7CE890CF" w14:textId="77777777" w:rsidR="0002221A" w:rsidRDefault="00000000">
      <w:pPr>
        <w:pStyle w:val="210"/>
        <w:keepNext/>
        <w:keepLines/>
        <w:numPr>
          <w:ilvl w:val="0"/>
          <w:numId w:val="1"/>
        </w:numPr>
        <w:tabs>
          <w:tab w:val="left" w:pos="502"/>
        </w:tabs>
        <w:jc w:val="both"/>
      </w:pPr>
      <w:bookmarkStart w:id="4" w:name="bookmark8"/>
      <w:r>
        <w:rPr>
          <w:rStyle w:val="21"/>
          <w:b/>
          <w:bCs/>
        </w:rPr>
        <w:t>処方(患者への十分な説明等)</w:t>
      </w:r>
      <w:bookmarkEnd w:id="4"/>
    </w:p>
    <w:p w14:paraId="010861FE" w14:textId="1989332A" w:rsidR="0002221A" w:rsidRDefault="007A498E" w:rsidP="007A498E">
      <w:pPr>
        <w:pStyle w:val="10"/>
        <w:tabs>
          <w:tab w:val="left" w:pos="502"/>
        </w:tabs>
        <w:spacing w:line="250" w:lineRule="exact"/>
        <w:ind w:left="180" w:firstLine="0"/>
        <w:jc w:val="both"/>
        <w:rPr>
          <w:sz w:val="22"/>
          <w:szCs w:val="22"/>
        </w:rPr>
      </w:pPr>
      <w:r>
        <w:rPr>
          <w:rStyle w:val="1"/>
          <w:rFonts w:hint="eastAsia"/>
          <w:sz w:val="22"/>
          <w:szCs w:val="22"/>
          <w:lang w:val="en-US" w:bidi="en-US"/>
        </w:rPr>
        <w:t>４</w:t>
      </w:r>
      <w:r>
        <w:rPr>
          <w:rStyle w:val="1"/>
          <w:sz w:val="22"/>
          <w:szCs w:val="22"/>
          <w:lang w:val="en-US" w:bidi="en-US"/>
        </w:rPr>
        <w:t xml:space="preserve">－１ </w:t>
      </w:r>
      <w:r>
        <w:rPr>
          <w:rStyle w:val="1"/>
          <w:sz w:val="22"/>
          <w:szCs w:val="22"/>
        </w:rPr>
        <w:t>処方せん等への必要事項の正確な記載</w:t>
      </w:r>
    </w:p>
    <w:p w14:paraId="39A40C70" w14:textId="77777777" w:rsidR="0002221A" w:rsidRDefault="00000000">
      <w:pPr>
        <w:pStyle w:val="10"/>
        <w:spacing w:line="250" w:lineRule="exact"/>
        <w:ind w:firstLine="360"/>
      </w:pPr>
      <w:r>
        <w:rPr>
          <w:rStyle w:val="1"/>
        </w:rPr>
        <w:t>・患者氏名,性別,年齢,医薬品名,剤形,規格単位,分量,用法用量等.</w:t>
      </w:r>
    </w:p>
    <w:p w14:paraId="657E033F" w14:textId="77777777" w:rsidR="0002221A" w:rsidRDefault="00000000">
      <w:pPr>
        <w:pStyle w:val="10"/>
        <w:spacing w:line="250" w:lineRule="exact"/>
        <w:ind w:firstLine="360"/>
      </w:pPr>
      <w:r>
        <w:rPr>
          <w:rStyle w:val="1"/>
        </w:rPr>
        <w:t>・類似名称医薬品に注意し,判読しやすい文字で記載.</w:t>
      </w:r>
    </w:p>
    <w:p w14:paraId="2E4F7608" w14:textId="77777777" w:rsidR="0002221A" w:rsidRDefault="00000000">
      <w:pPr>
        <w:pStyle w:val="10"/>
        <w:spacing w:line="250" w:lineRule="exact"/>
        <w:ind w:firstLine="360"/>
      </w:pPr>
      <w:r>
        <w:rPr>
          <w:rStyle w:val="1"/>
        </w:rPr>
        <w:t>・機械による入力の際には誤入力に注意.</w:t>
      </w:r>
    </w:p>
    <w:p w14:paraId="396FEB32" w14:textId="77777777" w:rsidR="0002221A" w:rsidRDefault="00000000">
      <w:pPr>
        <w:pStyle w:val="10"/>
        <w:spacing w:line="250" w:lineRule="exact"/>
        <w:ind w:firstLine="360"/>
        <w:jc w:val="both"/>
      </w:pPr>
      <w:r>
        <w:rPr>
          <w:rStyle w:val="1"/>
        </w:rPr>
        <w:t>・患者確認の徹底.</w:t>
      </w:r>
    </w:p>
    <w:p w14:paraId="159EB249" w14:textId="1BA55A8C" w:rsidR="0002221A" w:rsidRDefault="007A498E" w:rsidP="007A498E">
      <w:pPr>
        <w:pStyle w:val="10"/>
        <w:tabs>
          <w:tab w:val="left" w:pos="502"/>
        </w:tabs>
        <w:spacing w:line="250" w:lineRule="exact"/>
        <w:ind w:left="180" w:firstLine="0"/>
        <w:jc w:val="both"/>
        <w:rPr>
          <w:sz w:val="22"/>
          <w:szCs w:val="22"/>
        </w:rPr>
      </w:pPr>
      <w:r>
        <w:rPr>
          <w:rStyle w:val="1"/>
          <w:rFonts w:hint="eastAsia"/>
          <w:sz w:val="22"/>
          <w:szCs w:val="22"/>
          <w:lang w:val="en-US" w:bidi="en-US"/>
        </w:rPr>
        <w:t>４</w:t>
      </w:r>
      <w:r>
        <w:rPr>
          <w:rStyle w:val="1"/>
          <w:sz w:val="22"/>
          <w:szCs w:val="22"/>
          <w:lang w:val="en-US" w:bidi="en-US"/>
        </w:rPr>
        <w:t xml:space="preserve">－２ </w:t>
      </w:r>
      <w:r>
        <w:rPr>
          <w:rStyle w:val="1"/>
          <w:sz w:val="22"/>
          <w:szCs w:val="22"/>
        </w:rPr>
        <w:t>院内における単位等の記載方法の統一と職員間における情報の共有</w:t>
      </w:r>
    </w:p>
    <w:p w14:paraId="042A5B30" w14:textId="77777777" w:rsidR="0002221A" w:rsidRDefault="00000000">
      <w:pPr>
        <w:pStyle w:val="10"/>
        <w:spacing w:line="250" w:lineRule="exact"/>
        <w:ind w:firstLine="360"/>
        <w:jc w:val="both"/>
      </w:pPr>
      <w:r>
        <w:rPr>
          <w:rStyle w:val="1"/>
          <w:lang w:val="en-US" w:bidi="en-US"/>
        </w:rPr>
        <w:t>・１日量と１回量.</w:t>
      </w:r>
    </w:p>
    <w:p w14:paraId="67F8EA8C" w14:textId="77777777" w:rsidR="0002221A" w:rsidRDefault="00000000">
      <w:pPr>
        <w:pStyle w:val="10"/>
        <w:spacing w:line="250" w:lineRule="exact"/>
        <w:ind w:firstLine="360"/>
        <w:jc w:val="both"/>
      </w:pPr>
      <w:r>
        <w:rPr>
          <w:rStyle w:val="1"/>
          <w:lang w:val="en-US" w:bidi="en-US"/>
        </w:rPr>
        <w:t>・</w:t>
      </w:r>
      <w:proofErr w:type="spellStart"/>
      <w:r>
        <w:rPr>
          <w:rStyle w:val="1"/>
          <w:sz w:val="22"/>
          <w:szCs w:val="22"/>
          <w:lang w:val="en-US" w:bidi="en-US"/>
        </w:rPr>
        <w:t>mg,m</w:t>
      </w:r>
      <w:r>
        <w:rPr>
          <w:rStyle w:val="1"/>
          <w:rFonts w:ascii="Times New Roman" w:eastAsia="Times New Roman" w:hAnsi="Times New Roman" w:cs="Times New Roman"/>
          <w:i/>
          <w:iCs/>
          <w:sz w:val="16"/>
          <w:szCs w:val="16"/>
          <w:lang w:val="en-US" w:bidi="en-US"/>
        </w:rPr>
        <w:t>l</w:t>
      </w:r>
      <w:r>
        <w:rPr>
          <w:rStyle w:val="1"/>
          <w:sz w:val="22"/>
          <w:szCs w:val="22"/>
          <w:lang w:val="en-US" w:bidi="en-US"/>
        </w:rPr>
        <w:t>,cc</w:t>
      </w:r>
      <w:proofErr w:type="spellEnd"/>
      <w:r>
        <w:rPr>
          <w:rStyle w:val="1"/>
          <w:sz w:val="22"/>
          <w:szCs w:val="22"/>
          <w:lang w:val="en-US" w:bidi="en-US"/>
        </w:rPr>
        <w:t>,ｇ,</w:t>
      </w:r>
      <w:r>
        <w:rPr>
          <w:rStyle w:val="1"/>
          <w:lang w:val="en-US" w:bidi="en-US"/>
        </w:rPr>
        <w:t>バイアル等.</w:t>
      </w:r>
    </w:p>
    <w:p w14:paraId="18C7FCCE" w14:textId="77777777" w:rsidR="00C97BD9" w:rsidRDefault="00000000" w:rsidP="00C97BD9">
      <w:pPr>
        <w:pStyle w:val="10"/>
        <w:spacing w:line="250" w:lineRule="exact"/>
        <w:ind w:firstLine="360"/>
        <w:jc w:val="both"/>
        <w:rPr>
          <w:rStyle w:val="1"/>
        </w:rPr>
      </w:pPr>
      <w:r>
        <w:rPr>
          <w:rStyle w:val="1"/>
        </w:rPr>
        <w:t>・散剤,水剤,注射剤の処方時は濃度(％)まで記載.</w:t>
      </w:r>
    </w:p>
    <w:p w14:paraId="79941D44" w14:textId="72754AEB" w:rsidR="0002221A" w:rsidRDefault="00000000" w:rsidP="00C97BD9">
      <w:pPr>
        <w:pStyle w:val="10"/>
        <w:spacing w:line="250" w:lineRule="exact"/>
        <w:ind w:firstLine="360"/>
        <w:jc w:val="both"/>
      </w:pPr>
      <w:r>
        <w:rPr>
          <w:rStyle w:val="1"/>
        </w:rPr>
        <w:t>・散剤を主薬量(成分量)で記載する場合はその旨を明記する.</w:t>
      </w:r>
    </w:p>
    <w:p w14:paraId="4233A5D3" w14:textId="77777777" w:rsidR="0002221A" w:rsidRDefault="00000000" w:rsidP="00C97BD9">
      <w:pPr>
        <w:pStyle w:val="10"/>
        <w:numPr>
          <w:ilvl w:val="0"/>
          <w:numId w:val="2"/>
        </w:numPr>
        <w:tabs>
          <w:tab w:val="left" w:pos="604"/>
        </w:tabs>
        <w:spacing w:line="250" w:lineRule="exact"/>
        <w:ind w:firstLine="380"/>
      </w:pPr>
      <w:r>
        <w:rPr>
          <w:rStyle w:val="1"/>
          <w:lang w:val="en-US" w:bidi="en-US"/>
        </w:rPr>
        <w:t xml:space="preserve">１ </w:t>
      </w:r>
      <w:r>
        <w:rPr>
          <w:rStyle w:val="1"/>
          <w:sz w:val="22"/>
          <w:szCs w:val="22"/>
          <w:lang w:val="en-US" w:bidi="en-US"/>
        </w:rPr>
        <w:t>V(</w:t>
      </w:r>
      <w:r>
        <w:rPr>
          <w:rStyle w:val="1"/>
          <w:lang w:val="en-US" w:bidi="en-US"/>
        </w:rPr>
        <w:t xml:space="preserve">バイアル),１ </w:t>
      </w:r>
      <w:r>
        <w:rPr>
          <w:rStyle w:val="1"/>
          <w:sz w:val="22"/>
          <w:szCs w:val="22"/>
          <w:lang w:val="en-US" w:bidi="en-US"/>
        </w:rPr>
        <w:t>U(</w:t>
      </w:r>
      <w:r>
        <w:rPr>
          <w:rStyle w:val="1"/>
          <w:lang w:val="en-US" w:bidi="en-US"/>
        </w:rPr>
        <w:t>単位),</w:t>
      </w:r>
      <w:r>
        <w:rPr>
          <w:rStyle w:val="1"/>
          <w:sz w:val="22"/>
          <w:szCs w:val="22"/>
          <w:lang w:val="en-US" w:bidi="en-US"/>
        </w:rPr>
        <w:t>iv(</w:t>
      </w:r>
      <w:r>
        <w:rPr>
          <w:rStyle w:val="1"/>
          <w:lang w:val="en-US" w:bidi="en-US"/>
        </w:rPr>
        <w:t>静脈注射)など誤りやすい記載は避ける.</w:t>
      </w:r>
    </w:p>
    <w:p w14:paraId="526D6DB0" w14:textId="77777777" w:rsidR="0002221A" w:rsidRDefault="00000000">
      <w:pPr>
        <w:pStyle w:val="10"/>
        <w:spacing w:line="250" w:lineRule="exact"/>
        <w:ind w:firstLine="200"/>
        <w:rPr>
          <w:sz w:val="22"/>
          <w:szCs w:val="22"/>
        </w:rPr>
      </w:pPr>
      <w:r>
        <w:rPr>
          <w:rStyle w:val="1"/>
          <w:sz w:val="22"/>
          <w:szCs w:val="22"/>
          <w:lang w:val="en-US" w:eastAsia="en-US" w:bidi="en-US"/>
        </w:rPr>
        <w:t xml:space="preserve">４－３ </w:t>
      </w:r>
      <w:r>
        <w:rPr>
          <w:rStyle w:val="1"/>
          <w:sz w:val="22"/>
          <w:szCs w:val="22"/>
        </w:rPr>
        <w:t>患者への服薬指導</w:t>
      </w:r>
    </w:p>
    <w:p w14:paraId="4B15D134" w14:textId="77777777" w:rsidR="0002221A" w:rsidRDefault="00000000">
      <w:pPr>
        <w:pStyle w:val="10"/>
        <w:numPr>
          <w:ilvl w:val="0"/>
          <w:numId w:val="2"/>
        </w:numPr>
        <w:tabs>
          <w:tab w:val="left" w:pos="604"/>
        </w:tabs>
        <w:spacing w:line="250" w:lineRule="exact"/>
        <w:ind w:firstLine="380"/>
      </w:pPr>
      <w:r>
        <w:rPr>
          <w:rStyle w:val="1"/>
        </w:rPr>
        <w:t>効能,効果や副作用の説明.</w:t>
      </w:r>
    </w:p>
    <w:p w14:paraId="1F0790AF" w14:textId="1BF71658" w:rsidR="0002221A" w:rsidRDefault="00000000">
      <w:pPr>
        <w:pStyle w:val="10"/>
        <w:numPr>
          <w:ilvl w:val="0"/>
          <w:numId w:val="2"/>
        </w:numPr>
        <w:tabs>
          <w:tab w:val="left" w:pos="655"/>
        </w:tabs>
        <w:spacing w:line="250" w:lineRule="exact"/>
        <w:ind w:left="580" w:hanging="200"/>
      </w:pPr>
      <w:r>
        <w:rPr>
          <w:rStyle w:val="1"/>
        </w:rPr>
        <w:t>特に,処方の追加や変更を行う際には服用の仕方から効能,効果に至るまで十分な説明を行う.</w:t>
      </w:r>
    </w:p>
    <w:p w14:paraId="0046466C" w14:textId="77777777" w:rsidR="0002221A" w:rsidRDefault="00000000">
      <w:pPr>
        <w:pStyle w:val="10"/>
        <w:numPr>
          <w:ilvl w:val="0"/>
          <w:numId w:val="2"/>
        </w:numPr>
        <w:tabs>
          <w:tab w:val="left" w:pos="655"/>
        </w:tabs>
        <w:spacing w:line="250" w:lineRule="exact"/>
        <w:ind w:left="580" w:hanging="200"/>
      </w:pPr>
      <w:r>
        <w:rPr>
          <w:rStyle w:val="1"/>
        </w:rPr>
        <w:t>調剤薬局との連携(疑義照会があった場合には内容を十分に確認し,医師の指示に従う. 尚,その内容と対応を記録する)</w:t>
      </w:r>
    </w:p>
    <w:p w14:paraId="23083D3B" w14:textId="77777777" w:rsidR="0002221A" w:rsidRDefault="00000000">
      <w:pPr>
        <w:pStyle w:val="10"/>
        <w:spacing w:line="250" w:lineRule="exact"/>
        <w:ind w:firstLine="200"/>
        <w:rPr>
          <w:sz w:val="22"/>
          <w:szCs w:val="22"/>
        </w:rPr>
      </w:pPr>
      <w:r>
        <w:rPr>
          <w:rStyle w:val="1"/>
          <w:sz w:val="22"/>
          <w:szCs w:val="22"/>
          <w:lang w:val="en-US" w:bidi="en-US"/>
        </w:rPr>
        <w:t xml:space="preserve">４－４ </w:t>
      </w:r>
      <w:r>
        <w:rPr>
          <w:rStyle w:val="1"/>
          <w:sz w:val="22"/>
          <w:szCs w:val="22"/>
        </w:rPr>
        <w:t>処方後の経過観察(副作用発生時への対応)</w:t>
      </w:r>
    </w:p>
    <w:p w14:paraId="0E21C96B" w14:textId="77777777" w:rsidR="0002221A" w:rsidRDefault="00000000">
      <w:pPr>
        <w:pStyle w:val="10"/>
        <w:spacing w:line="250" w:lineRule="exact"/>
        <w:ind w:firstLine="380"/>
      </w:pPr>
      <w:r>
        <w:rPr>
          <w:rStyle w:val="1"/>
        </w:rPr>
        <w:t>・副作用発生時の院内連絡体制の確立.</w:t>
      </w:r>
    </w:p>
    <w:p w14:paraId="4138CC96" w14:textId="77777777" w:rsidR="0002221A" w:rsidRDefault="00000000">
      <w:pPr>
        <w:pStyle w:val="10"/>
        <w:spacing w:line="250" w:lineRule="exact"/>
        <w:ind w:firstLine="380"/>
      </w:pPr>
      <w:r>
        <w:rPr>
          <w:rStyle w:val="1"/>
        </w:rPr>
        <w:t>・救急処置方法の事前習得.</w:t>
      </w:r>
    </w:p>
    <w:p w14:paraId="3B0D719B" w14:textId="77777777" w:rsidR="0002221A" w:rsidRDefault="00000000">
      <w:pPr>
        <w:pStyle w:val="10"/>
        <w:spacing w:line="250" w:lineRule="exact"/>
        <w:ind w:firstLine="380"/>
      </w:pPr>
      <w:r>
        <w:rPr>
          <w:rStyle w:val="1"/>
        </w:rPr>
        <w:t>・救急用医薬品,器材の配備と管理,所在の確認.</w:t>
      </w:r>
    </w:p>
    <w:p w14:paraId="0DCC1C5B" w14:textId="77777777" w:rsidR="0002221A" w:rsidRDefault="00000000">
      <w:pPr>
        <w:pStyle w:val="10"/>
        <w:spacing w:line="250" w:lineRule="exact"/>
        <w:ind w:firstLine="380"/>
      </w:pPr>
      <w:r>
        <w:rPr>
          <w:rStyle w:val="1"/>
        </w:rPr>
        <w:t>・医療連携等,施設間における協力体制の整備.</w:t>
      </w:r>
    </w:p>
    <w:p w14:paraId="6A6888C0" w14:textId="77777777" w:rsidR="0002221A" w:rsidRDefault="00000000">
      <w:pPr>
        <w:pStyle w:val="10"/>
        <w:numPr>
          <w:ilvl w:val="0"/>
          <w:numId w:val="2"/>
        </w:numPr>
        <w:tabs>
          <w:tab w:val="left" w:pos="604"/>
        </w:tabs>
        <w:spacing w:line="250" w:lineRule="exact"/>
        <w:ind w:firstLine="380"/>
      </w:pPr>
      <w:r>
        <w:rPr>
          <w:rStyle w:val="1"/>
        </w:rPr>
        <w:t>夜間,休日等を含む,相談窓口の体制整備.</w:t>
      </w:r>
    </w:p>
    <w:p w14:paraId="475328B5" w14:textId="77777777" w:rsidR="0002221A" w:rsidRDefault="00000000">
      <w:pPr>
        <w:pStyle w:val="10"/>
        <w:spacing w:after="240" w:line="250" w:lineRule="exact"/>
        <w:ind w:firstLine="380"/>
      </w:pPr>
      <w:r>
        <w:rPr>
          <w:rStyle w:val="1"/>
        </w:rPr>
        <w:lastRenderedPageBreak/>
        <w:t>・医師会作成のポスター等を掲示し,患者に日頃から広報を行う.</w:t>
      </w:r>
    </w:p>
    <w:p w14:paraId="5C4D845D" w14:textId="77777777" w:rsidR="0002221A" w:rsidRDefault="00000000">
      <w:pPr>
        <w:pStyle w:val="210"/>
        <w:keepNext/>
        <w:keepLines/>
        <w:numPr>
          <w:ilvl w:val="0"/>
          <w:numId w:val="3"/>
        </w:numPr>
        <w:tabs>
          <w:tab w:val="left" w:pos="477"/>
        </w:tabs>
        <w:ind w:firstLine="200"/>
      </w:pPr>
      <w:bookmarkStart w:id="5" w:name="bookmark10"/>
      <w:r>
        <w:rPr>
          <w:rStyle w:val="21"/>
          <w:b/>
          <w:bCs/>
        </w:rPr>
        <w:t>臨床検査や画像診断,処置における医薬品の使用</w:t>
      </w:r>
      <w:bookmarkEnd w:id="5"/>
    </w:p>
    <w:p w14:paraId="24DBD11C" w14:textId="77777777" w:rsidR="0002221A" w:rsidRDefault="00000000">
      <w:pPr>
        <w:pStyle w:val="10"/>
        <w:spacing w:line="250" w:lineRule="exact"/>
        <w:ind w:firstLine="200"/>
        <w:rPr>
          <w:sz w:val="22"/>
          <w:szCs w:val="22"/>
        </w:rPr>
      </w:pPr>
      <w:r>
        <w:rPr>
          <w:rStyle w:val="1"/>
          <w:sz w:val="22"/>
          <w:szCs w:val="22"/>
          <w:lang w:val="en-US" w:bidi="en-US"/>
        </w:rPr>
        <w:t xml:space="preserve">５－１ </w:t>
      </w:r>
      <w:r>
        <w:rPr>
          <w:rStyle w:val="1"/>
          <w:sz w:val="22"/>
          <w:szCs w:val="22"/>
        </w:rPr>
        <w:t>事前に患者情報を収集・管理し,活用する.</w:t>
      </w:r>
    </w:p>
    <w:p w14:paraId="1FF1D32D" w14:textId="77777777" w:rsidR="0002221A" w:rsidRDefault="00000000">
      <w:pPr>
        <w:pStyle w:val="10"/>
        <w:spacing w:line="250" w:lineRule="exact"/>
        <w:ind w:firstLine="200"/>
        <w:rPr>
          <w:sz w:val="22"/>
          <w:szCs w:val="22"/>
        </w:rPr>
      </w:pPr>
      <w:r>
        <w:rPr>
          <w:rStyle w:val="1"/>
          <w:sz w:val="22"/>
          <w:szCs w:val="22"/>
          <w:lang w:val="en-US" w:bidi="en-US"/>
        </w:rPr>
        <w:t xml:space="preserve">５－２ </w:t>
      </w:r>
      <w:r>
        <w:rPr>
          <w:rStyle w:val="1"/>
          <w:sz w:val="22"/>
          <w:szCs w:val="22"/>
        </w:rPr>
        <w:t>診断薬や前処置薬等の使用</w:t>
      </w:r>
    </w:p>
    <w:p w14:paraId="1B3F1B13" w14:textId="77777777" w:rsidR="0002221A" w:rsidRDefault="00000000">
      <w:pPr>
        <w:pStyle w:val="10"/>
        <w:spacing w:line="250" w:lineRule="exact"/>
        <w:ind w:firstLine="380"/>
      </w:pPr>
      <w:r>
        <w:rPr>
          <w:rStyle w:val="1"/>
        </w:rPr>
        <w:t>・緊急時以外は原則として口頭指示を避ける.</w:t>
      </w:r>
    </w:p>
    <w:p w14:paraId="5EFE6471" w14:textId="77777777" w:rsidR="0002221A" w:rsidRDefault="00000000">
      <w:pPr>
        <w:pStyle w:val="10"/>
        <w:spacing w:line="250" w:lineRule="exact"/>
        <w:ind w:firstLine="380"/>
      </w:pPr>
      <w:r>
        <w:rPr>
          <w:rStyle w:val="1"/>
        </w:rPr>
        <w:t>・口頭指示を行った場合は,指示簿等に記録を残す.</w:t>
      </w:r>
    </w:p>
    <w:p w14:paraId="60603A43" w14:textId="7120EBEF" w:rsidR="0002221A" w:rsidRDefault="00000000">
      <w:pPr>
        <w:pStyle w:val="10"/>
        <w:spacing w:line="250" w:lineRule="exact"/>
        <w:ind w:left="580" w:hanging="200"/>
      </w:pPr>
      <w:r>
        <w:rPr>
          <w:rStyle w:val="1"/>
        </w:rPr>
        <w:t>・患者名,医薬品の名称,単位,数量,使用部位の指示を徹底(復唱や複数人による指示受け)</w:t>
      </w:r>
    </w:p>
    <w:p w14:paraId="66A7F5CD" w14:textId="77777777" w:rsidR="0002221A" w:rsidRDefault="00000000">
      <w:pPr>
        <w:pStyle w:val="10"/>
        <w:spacing w:line="250" w:lineRule="exact"/>
        <w:ind w:left="580" w:hanging="200"/>
      </w:pPr>
      <w:r>
        <w:rPr>
          <w:rStyle w:val="1"/>
        </w:rPr>
        <w:t>・指示者,指示受け者の明確化と確認の徹底.</w:t>
      </w:r>
    </w:p>
    <w:p w14:paraId="548DB507" w14:textId="77777777" w:rsidR="0002221A" w:rsidRDefault="00000000">
      <w:pPr>
        <w:pStyle w:val="10"/>
        <w:spacing w:line="250" w:lineRule="exact"/>
        <w:ind w:firstLine="200"/>
        <w:rPr>
          <w:sz w:val="22"/>
          <w:szCs w:val="22"/>
        </w:rPr>
      </w:pPr>
      <w:r>
        <w:rPr>
          <w:rStyle w:val="1"/>
          <w:sz w:val="22"/>
          <w:szCs w:val="22"/>
          <w:lang w:val="en-US" w:bidi="en-US"/>
        </w:rPr>
        <w:t xml:space="preserve">５－３ </w:t>
      </w:r>
      <w:r>
        <w:rPr>
          <w:rStyle w:val="1"/>
          <w:sz w:val="22"/>
          <w:szCs w:val="22"/>
        </w:rPr>
        <w:t>副作用発生時への対応</w:t>
      </w:r>
    </w:p>
    <w:p w14:paraId="5B66BB89" w14:textId="77777777" w:rsidR="0002221A" w:rsidRDefault="00000000">
      <w:pPr>
        <w:pStyle w:val="10"/>
        <w:spacing w:line="250" w:lineRule="exact"/>
        <w:ind w:firstLine="380"/>
      </w:pPr>
      <w:r>
        <w:rPr>
          <w:rStyle w:val="1"/>
        </w:rPr>
        <w:t>・副作用発生時の院内連絡体制の確立.</w:t>
      </w:r>
    </w:p>
    <w:p w14:paraId="0F35697D" w14:textId="77777777" w:rsidR="0002221A" w:rsidRDefault="00000000">
      <w:pPr>
        <w:pStyle w:val="10"/>
        <w:spacing w:line="250" w:lineRule="exact"/>
        <w:ind w:firstLine="380"/>
      </w:pPr>
      <w:r>
        <w:rPr>
          <w:rStyle w:val="1"/>
        </w:rPr>
        <w:t>・救急処置方法の事前習得.</w:t>
      </w:r>
    </w:p>
    <w:p w14:paraId="0F1C9769" w14:textId="77777777" w:rsidR="0002221A" w:rsidRDefault="00000000">
      <w:pPr>
        <w:pStyle w:val="10"/>
        <w:spacing w:line="250" w:lineRule="exact"/>
        <w:ind w:firstLine="380"/>
      </w:pPr>
      <w:r>
        <w:rPr>
          <w:rStyle w:val="1"/>
        </w:rPr>
        <w:t>・救急用医薬品,器材の配備と管理,所在の確認.</w:t>
      </w:r>
    </w:p>
    <w:p w14:paraId="56E9570F" w14:textId="77777777" w:rsidR="0002221A" w:rsidRDefault="00000000">
      <w:pPr>
        <w:pStyle w:val="10"/>
        <w:spacing w:after="240" w:line="250" w:lineRule="exact"/>
        <w:ind w:firstLine="380"/>
      </w:pPr>
      <w:r>
        <w:rPr>
          <w:rStyle w:val="1"/>
        </w:rPr>
        <w:t>・医療連携等,施設間における協力体制の整備.</w:t>
      </w:r>
    </w:p>
    <w:p w14:paraId="50BDB1F7" w14:textId="77777777" w:rsidR="0002221A" w:rsidRDefault="00000000">
      <w:pPr>
        <w:pStyle w:val="210"/>
        <w:keepNext/>
        <w:keepLines/>
        <w:numPr>
          <w:ilvl w:val="0"/>
          <w:numId w:val="3"/>
        </w:numPr>
        <w:tabs>
          <w:tab w:val="left" w:pos="482"/>
        </w:tabs>
        <w:ind w:firstLine="200"/>
      </w:pPr>
      <w:bookmarkStart w:id="6" w:name="bookmark12"/>
      <w:r>
        <w:rPr>
          <w:rStyle w:val="21"/>
          <w:b/>
          <w:bCs/>
        </w:rPr>
        <w:t>在宅患者への医薬品の使用</w:t>
      </w:r>
      <w:bookmarkEnd w:id="6"/>
    </w:p>
    <w:p w14:paraId="18613091" w14:textId="170811FC" w:rsidR="0002221A" w:rsidRDefault="00000000">
      <w:pPr>
        <w:pStyle w:val="10"/>
        <w:spacing w:line="250" w:lineRule="exact"/>
        <w:ind w:left="760" w:hanging="560"/>
      </w:pPr>
      <w:r>
        <w:rPr>
          <w:rStyle w:val="1"/>
          <w:sz w:val="22"/>
          <w:szCs w:val="22"/>
          <w:lang w:val="en-US" w:bidi="en-US"/>
        </w:rPr>
        <w:t xml:space="preserve">６－１ </w:t>
      </w:r>
      <w:r>
        <w:rPr>
          <w:rStyle w:val="1"/>
        </w:rPr>
        <w:t>在宅患者という特殊性に鑑み,医薬品を適正使用するため,剤形や用法,調剤方法等の選択に留意し,在宅患者自身または介護・介助者等へ服薬指導を徹底する.</w:t>
      </w:r>
    </w:p>
    <w:p w14:paraId="6390EA5D" w14:textId="2BA6A23A" w:rsidR="0002221A" w:rsidRDefault="00000000">
      <w:pPr>
        <w:pStyle w:val="10"/>
        <w:spacing w:line="250" w:lineRule="exact"/>
        <w:ind w:left="760" w:firstLine="0"/>
        <w:jc w:val="both"/>
      </w:pPr>
      <w:r>
        <w:rPr>
          <w:rStyle w:val="1"/>
        </w:rPr>
        <w:t>特に,誤飲や副作用発生時の対応について説明を行い,保管・管理方法等についても周知しておく.</w:t>
      </w:r>
    </w:p>
    <w:p w14:paraId="497BDAC2" w14:textId="77777777" w:rsidR="0002221A" w:rsidRDefault="00000000">
      <w:pPr>
        <w:pStyle w:val="10"/>
        <w:spacing w:line="250" w:lineRule="exact"/>
        <w:ind w:firstLine="200"/>
        <w:rPr>
          <w:sz w:val="22"/>
          <w:szCs w:val="22"/>
        </w:rPr>
      </w:pPr>
      <w:r>
        <w:rPr>
          <w:rStyle w:val="1"/>
          <w:sz w:val="22"/>
          <w:szCs w:val="22"/>
          <w:lang w:val="en-US" w:bidi="en-US"/>
        </w:rPr>
        <w:t xml:space="preserve">６－２ </w:t>
      </w:r>
      <w:r>
        <w:rPr>
          <w:rStyle w:val="1"/>
          <w:sz w:val="22"/>
          <w:szCs w:val="22"/>
        </w:rPr>
        <w:t>医薬品の使用や処方後の経過観察の徹底</w:t>
      </w:r>
    </w:p>
    <w:p w14:paraId="2F8430AD" w14:textId="77777777" w:rsidR="0002221A" w:rsidRDefault="00000000">
      <w:pPr>
        <w:pStyle w:val="10"/>
        <w:spacing w:line="250" w:lineRule="exact"/>
        <w:ind w:left="580" w:hanging="200"/>
      </w:pPr>
      <w:r>
        <w:rPr>
          <w:rStyle w:val="1"/>
        </w:rPr>
        <w:t>・副作用発生時の緊急連絡先の周知をはじめ,緊急対応体制を確立し,日頃より医療連携等, 施設間における協力体制の整備を行っておく.</w:t>
      </w:r>
    </w:p>
    <w:p w14:paraId="7D4C1B69" w14:textId="77777777" w:rsidR="0002221A" w:rsidRDefault="00000000">
      <w:pPr>
        <w:pStyle w:val="10"/>
        <w:spacing w:line="250" w:lineRule="exact"/>
        <w:ind w:firstLine="380"/>
      </w:pPr>
      <w:r>
        <w:rPr>
          <w:rStyle w:val="1"/>
        </w:rPr>
        <w:t>・救急処置方法等の事前周知.</w:t>
      </w:r>
    </w:p>
    <w:p w14:paraId="6BC47EAE" w14:textId="32AA4EF5" w:rsidR="0002221A" w:rsidRDefault="00000000">
      <w:pPr>
        <w:pStyle w:val="10"/>
        <w:spacing w:after="240" w:line="250" w:lineRule="exact"/>
        <w:ind w:left="580" w:hanging="200"/>
      </w:pPr>
      <w:r>
        <w:rPr>
          <w:rStyle w:val="1"/>
        </w:rPr>
        <w:t>・救急用医薬品や器材を配備し,管理を行うとともに,全職員に所在(置き場)を確認させておく.</w:t>
      </w:r>
    </w:p>
    <w:p w14:paraId="6C3CDD02" w14:textId="77777777" w:rsidR="0002221A" w:rsidRDefault="00000000">
      <w:pPr>
        <w:pStyle w:val="210"/>
        <w:keepNext/>
        <w:keepLines/>
        <w:numPr>
          <w:ilvl w:val="0"/>
          <w:numId w:val="3"/>
        </w:numPr>
        <w:tabs>
          <w:tab w:val="left" w:pos="486"/>
        </w:tabs>
        <w:ind w:firstLine="200"/>
      </w:pPr>
      <w:bookmarkStart w:id="7" w:name="bookmark14"/>
      <w:r>
        <w:rPr>
          <w:rStyle w:val="21"/>
          <w:b/>
          <w:bCs/>
        </w:rPr>
        <w:t>その他</w:t>
      </w:r>
      <w:bookmarkEnd w:id="7"/>
    </w:p>
    <w:p w14:paraId="75F7830B" w14:textId="77777777" w:rsidR="0002221A" w:rsidRDefault="00000000">
      <w:pPr>
        <w:pStyle w:val="10"/>
        <w:spacing w:line="250" w:lineRule="exact"/>
        <w:ind w:firstLine="380"/>
      </w:pPr>
      <w:r>
        <w:rPr>
          <w:rStyle w:val="1"/>
        </w:rPr>
        <w:t>・医師会広報やメーカー等による医薬品副作用情報をチェックする.</w:t>
      </w:r>
    </w:p>
    <w:p w14:paraId="336B3DCD" w14:textId="77777777" w:rsidR="0002221A" w:rsidRDefault="00000000">
      <w:pPr>
        <w:pStyle w:val="10"/>
        <w:spacing w:line="250" w:lineRule="exact"/>
        <w:ind w:firstLine="380"/>
      </w:pPr>
      <w:r>
        <w:rPr>
          <w:rStyle w:val="1"/>
        </w:rPr>
        <w:t>・類似名称医薬品一覧表の作成.</w:t>
      </w:r>
    </w:p>
    <w:p w14:paraId="342E9E3E" w14:textId="77777777" w:rsidR="0002221A" w:rsidRDefault="00000000">
      <w:pPr>
        <w:pStyle w:val="10"/>
        <w:spacing w:after="240" w:line="250" w:lineRule="exact"/>
        <w:ind w:firstLine="380"/>
      </w:pPr>
      <w:r>
        <w:rPr>
          <w:rStyle w:val="1"/>
        </w:rPr>
        <w:t>・本業務手順書は必要に応じ,または定期的に見直しのための検討を行う.</w:t>
      </w:r>
    </w:p>
    <w:p w14:paraId="7B796FE9" w14:textId="77777777" w:rsidR="0002221A" w:rsidRDefault="00000000">
      <w:pPr>
        <w:pStyle w:val="30"/>
      </w:pPr>
      <w:r>
        <w:rPr>
          <w:rStyle w:val="3"/>
        </w:rPr>
        <w:t>【出典】</w:t>
      </w:r>
    </w:p>
    <w:p w14:paraId="7CC7311B" w14:textId="77777777" w:rsidR="0002221A" w:rsidRDefault="00000000">
      <w:pPr>
        <w:pStyle w:val="23"/>
        <w:rPr>
          <w:lang w:eastAsia="ja-JP"/>
        </w:rPr>
      </w:pPr>
      <w:r>
        <w:rPr>
          <w:rStyle w:val="22"/>
          <w:rFonts w:ascii="ＭＳ 明朝" w:eastAsia="ＭＳ 明朝" w:hAnsi="ＭＳ 明朝" w:cs="ＭＳ 明朝"/>
          <w:lang w:eastAsia="ja-JP"/>
        </w:rPr>
        <w:t>北九州市医師会「医薬品安全使用のための手順書」(</w:t>
      </w:r>
      <w:hyperlink r:id="rId7" w:history="1">
        <w:r w:rsidR="0002221A">
          <w:rPr>
            <w:rStyle w:val="22"/>
            <w:lang w:eastAsia="ja-JP"/>
          </w:rPr>
          <w:t>http://www.kitakyushu-med.or.jp/b</w:t>
        </w:r>
        <w:r w:rsidR="0002221A">
          <w:rPr>
            <w:rStyle w:val="22"/>
            <w:rFonts w:ascii="Arial" w:eastAsia="Arial" w:hAnsi="Arial" w:cs="Arial"/>
            <w:sz w:val="14"/>
            <w:szCs w:val="14"/>
            <w:lang w:eastAsia="ja-JP"/>
          </w:rPr>
          <w:t>007</w:t>
        </w:r>
        <w:r w:rsidR="0002221A">
          <w:rPr>
            <w:rStyle w:val="22"/>
            <w:lang w:eastAsia="ja-JP"/>
          </w:rPr>
          <w:t>.html</w:t>
        </w:r>
        <w:r w:rsidR="0002221A">
          <w:rPr>
            <w:rStyle w:val="22"/>
            <w:rFonts w:ascii="ＭＳ 明朝" w:eastAsia="ＭＳ 明朝" w:hAnsi="ＭＳ 明朝" w:cs="ＭＳ 明朝"/>
            <w:lang w:eastAsia="ja-JP"/>
          </w:rPr>
          <w:t>)</w:t>
        </w:r>
      </w:hyperlink>
    </w:p>
    <w:sectPr w:rsidR="0002221A" w:rsidSect="000820A8">
      <w:footerReference w:type="even" r:id="rId8"/>
      <w:footerReference w:type="default" r:id="rId9"/>
      <w:pgSz w:w="11906" w:h="16838" w:code="9"/>
      <w:pgMar w:top="998" w:right="1186" w:bottom="966" w:left="1090"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9FD9D" w14:textId="77777777" w:rsidR="00A55E32" w:rsidRDefault="00A55E32">
      <w:r>
        <w:separator/>
      </w:r>
    </w:p>
  </w:endnote>
  <w:endnote w:type="continuationSeparator" w:id="0">
    <w:p w14:paraId="2EE95B01" w14:textId="77777777" w:rsidR="00A55E32" w:rsidRDefault="00A55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916A0" w14:textId="77777777" w:rsidR="0002221A" w:rsidRDefault="00000000">
    <w:pPr>
      <w:spacing w:line="1" w:lineRule="exact"/>
    </w:pPr>
    <w:r>
      <w:rPr>
        <w:noProof/>
      </w:rPr>
      <mc:AlternateContent>
        <mc:Choice Requires="wps">
          <w:drawing>
            <wp:anchor distT="0" distB="0" distL="0" distR="0" simplePos="0" relativeHeight="62914692" behindDoc="1" locked="0" layoutInCell="1" allowOverlap="1" wp14:anchorId="084511E2" wp14:editId="5CCBBAE8">
              <wp:simplePos x="0" y="0"/>
              <wp:positionH relativeFrom="page">
                <wp:posOffset>344170</wp:posOffset>
              </wp:positionH>
              <wp:positionV relativeFrom="page">
                <wp:posOffset>8836025</wp:posOffset>
              </wp:positionV>
              <wp:extent cx="237490" cy="106680"/>
              <wp:effectExtent l="0" t="0" r="0" b="0"/>
              <wp:wrapNone/>
              <wp:docPr id="5" name="Shape 5"/>
              <wp:cNvGraphicFramePr/>
              <a:graphic xmlns:a="http://schemas.openxmlformats.org/drawingml/2006/main">
                <a:graphicData uri="http://schemas.microsoft.com/office/word/2010/wordprocessingShape">
                  <wps:wsp>
                    <wps:cNvSpPr txBox="1"/>
                    <wps:spPr>
                      <a:xfrm>
                        <a:off x="0" y="0"/>
                        <a:ext cx="237490" cy="106680"/>
                      </a:xfrm>
                      <a:prstGeom prst="rect">
                        <a:avLst/>
                      </a:prstGeom>
                      <a:noFill/>
                    </wps:spPr>
                    <wps:txbx>
                      <w:txbxContent>
                        <w:p w14:paraId="36A68369" w14:textId="4A7B153E" w:rsidR="0002221A" w:rsidRDefault="0002221A">
                          <w:pPr>
                            <w:pStyle w:val="13"/>
                            <w:jc w:val="left"/>
                          </w:pPr>
                        </w:p>
                      </w:txbxContent>
                    </wps:txbx>
                    <wps:bodyPr wrap="none" lIns="0" tIns="0" rIns="0" bIns="0">
                      <a:spAutoFit/>
                    </wps:bodyPr>
                  </wps:wsp>
                </a:graphicData>
              </a:graphic>
            </wp:anchor>
          </w:drawing>
        </mc:Choice>
        <mc:Fallback>
          <w:pict>
            <v:shapetype w14:anchorId="084511E2" id="_x0000_t202" coordsize="21600,21600" o:spt="202" path="m,l,21600r21600,l21600,xe">
              <v:stroke joinstyle="miter"/>
              <v:path gradientshapeok="t" o:connecttype="rect"/>
            </v:shapetype>
            <v:shape id="Shape 5" o:spid="_x0000_s1026" type="#_x0000_t202" style="position:absolute;margin-left:27.1pt;margin-top:695.75pt;width:18.7pt;height:8.4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" filled="f" stroked="f">
              <v:textbox style="mso-fit-shape-to-text:t" inset="0,0,0,0">
                <w:txbxContent>
                  <w:p w14:paraId="36A68369" w14:textId="4A7B153E" w:rsidR="0002221A" w:rsidRDefault="0002221A">
                    <w:pPr>
                      <w:pStyle w:val="13"/>
                      <w:jc w:val="left"/>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7CDC9" w14:textId="77777777" w:rsidR="0002221A" w:rsidRDefault="00000000">
    <w:pPr>
      <w:spacing w:line="1" w:lineRule="exact"/>
    </w:pPr>
    <w:r>
      <w:rPr>
        <w:noProof/>
      </w:rPr>
      <mc:AlternateContent>
        <mc:Choice Requires="wps">
          <w:drawing>
            <wp:anchor distT="0" distB="0" distL="0" distR="0" simplePos="0" relativeHeight="62914690" behindDoc="1" locked="0" layoutInCell="1" allowOverlap="1" wp14:anchorId="0ECE2BC7" wp14:editId="16722E70">
              <wp:simplePos x="0" y="0"/>
              <wp:positionH relativeFrom="page">
                <wp:posOffset>5992495</wp:posOffset>
              </wp:positionH>
              <wp:positionV relativeFrom="page">
                <wp:posOffset>8836025</wp:posOffset>
              </wp:positionV>
              <wp:extent cx="240665" cy="106680"/>
              <wp:effectExtent l="0" t="0" r="0" b="0"/>
              <wp:wrapNone/>
              <wp:docPr id="3" name="Shape 3"/>
              <wp:cNvGraphicFramePr/>
              <a:graphic xmlns:a="http://schemas.openxmlformats.org/drawingml/2006/main">
                <a:graphicData uri="http://schemas.microsoft.com/office/word/2010/wordprocessingShape">
                  <wps:wsp>
                    <wps:cNvSpPr txBox="1"/>
                    <wps:spPr>
                      <a:xfrm>
                        <a:off x="0" y="0"/>
                        <a:ext cx="240665" cy="106680"/>
                      </a:xfrm>
                      <a:prstGeom prst="rect">
                        <a:avLst/>
                      </a:prstGeom>
                      <a:noFill/>
                    </wps:spPr>
                    <wps:txbx>
                      <w:txbxContent>
                        <w:p w14:paraId="2A7C1D22" w14:textId="0F6AA582" w:rsidR="0002221A" w:rsidRDefault="0002221A">
                          <w:pPr>
                            <w:pStyle w:val="20"/>
                          </w:pPr>
                        </w:p>
                      </w:txbxContent>
                    </wps:txbx>
                    <wps:bodyPr wrap="none" lIns="0" tIns="0" rIns="0" bIns="0">
                      <a:spAutoFit/>
                    </wps:bodyPr>
                  </wps:wsp>
                </a:graphicData>
              </a:graphic>
            </wp:anchor>
          </w:drawing>
        </mc:Choice>
        <mc:Fallback>
          <w:pict>
            <v:shapetype w14:anchorId="0ECE2BC7" id="_x0000_t202" coordsize="21600,21600" o:spt="202" path="m,l,21600r21600,l21600,xe">
              <v:stroke joinstyle="miter"/>
              <v:path gradientshapeok="t" o:connecttype="rect"/>
            </v:shapetype>
            <v:shape id="Shape 3" o:spid="_x0000_s1027" type="#_x0000_t202" style="position:absolute;margin-left:471.85pt;margin-top:695.75pt;width:18.95pt;height:8.4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" filled="f" stroked="f">
              <v:textbox style="mso-fit-shape-to-text:t" inset="0,0,0,0">
                <w:txbxContent>
                  <w:p w14:paraId="2A7C1D22" w14:textId="0F6AA582" w:rsidR="0002221A" w:rsidRDefault="0002221A">
                    <w:pPr>
                      <w:pStyle w:val="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B3AD0" w14:textId="77777777" w:rsidR="00A55E32" w:rsidRDefault="00A55E32"/>
  </w:footnote>
  <w:footnote w:type="continuationSeparator" w:id="0">
    <w:p w14:paraId="1E8173F3" w14:textId="77777777" w:rsidR="00A55E32" w:rsidRDefault="00A55E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2158C"/>
    <w:multiLevelType w:val="multilevel"/>
    <w:tmpl w:val="B86CBBB6"/>
    <w:lvl w:ilvl="0">
      <w:start w:val="1"/>
      <w:numFmt w:val="bullet"/>
      <w:lvlText w:val="・"/>
      <w:lvlJc w:val="left"/>
      <w:rPr>
        <w:rFonts w:ascii="ＭＳ 明朝" w:eastAsia="ＭＳ 明朝" w:hAnsi="ＭＳ 明朝" w:cs="ＭＳ 明朝"/>
        <w:b w:val="0"/>
        <w:bCs w:val="0"/>
        <w:i w:val="0"/>
        <w:iCs w:val="0"/>
        <w:smallCaps w:val="0"/>
        <w:strike w:val="0"/>
        <w:color w:val="231F20"/>
        <w:spacing w:val="0"/>
        <w:w w:val="100"/>
        <w:position w:val="0"/>
        <w:sz w:val="20"/>
        <w:szCs w:val="20"/>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A830132"/>
    <w:multiLevelType w:val="multilevel"/>
    <w:tmpl w:val="EE96748A"/>
    <w:lvl w:ilvl="0">
      <w:start w:val="1"/>
      <w:numFmt w:val="decimal"/>
      <w:lvlText w:val="%1"/>
      <w:lvlJc w:val="left"/>
      <w:rPr>
        <w:rFonts w:ascii="ＭＳ 明朝" w:eastAsia="ＭＳ 明朝" w:hAnsi="ＭＳ 明朝" w:cs="ＭＳ 明朝"/>
        <w:b w:val="0"/>
        <w:bCs w:val="0"/>
        <w:i w:val="0"/>
        <w:iCs w:val="0"/>
        <w:smallCaps w:val="0"/>
        <w:strike w:val="0"/>
        <w:color w:val="231F2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F4F56EF"/>
    <w:multiLevelType w:val="multilevel"/>
    <w:tmpl w:val="D39CA34E"/>
    <w:lvl w:ilvl="0">
      <w:start w:val="5"/>
      <w:numFmt w:val="decimal"/>
      <w:lvlText w:val="%1"/>
      <w:lvlJc w:val="left"/>
      <w:rPr>
        <w:rFonts w:ascii="ＭＳ 明朝" w:eastAsia="ＭＳ 明朝" w:hAnsi="ＭＳ 明朝" w:cs="ＭＳ 明朝"/>
        <w:b/>
        <w:bCs/>
        <w:i w:val="0"/>
        <w:iCs w:val="0"/>
        <w:smallCaps w:val="0"/>
        <w:strike w:val="0"/>
        <w:color w:val="008CD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06926402">
    <w:abstractNumId w:val="1"/>
  </w:num>
  <w:num w:numId="2" w16cid:durableId="689990954">
    <w:abstractNumId w:val="0"/>
  </w:num>
  <w:num w:numId="3" w16cid:durableId="14094964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evenAndOddHeaders/>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21A"/>
    <w:rsid w:val="000032E4"/>
    <w:rsid w:val="000076DB"/>
    <w:rsid w:val="0002221A"/>
    <w:rsid w:val="000820A8"/>
    <w:rsid w:val="000B0E18"/>
    <w:rsid w:val="000B5127"/>
    <w:rsid w:val="002770C4"/>
    <w:rsid w:val="003C0DD9"/>
    <w:rsid w:val="003E49D8"/>
    <w:rsid w:val="00405EF0"/>
    <w:rsid w:val="004F2CC8"/>
    <w:rsid w:val="00567ACD"/>
    <w:rsid w:val="007A498E"/>
    <w:rsid w:val="00994EDD"/>
    <w:rsid w:val="00A55E32"/>
    <w:rsid w:val="00C97BD9"/>
    <w:rsid w:val="00DF4E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CBD8D5"/>
  <w15:docId w15:val="{503657F3-B0AD-405A-AEC0-E5B42584E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color w:val="231F20"/>
      <w:sz w:val="20"/>
      <w:szCs w:val="20"/>
      <w:u w:val="none"/>
      <w:lang w:val="ja-JP" w:eastAsia="ja-JP" w:bidi="ja-JP"/>
    </w:rPr>
  </w:style>
  <w:style w:type="character" w:customStyle="1" w:styleId="11">
    <w:name w:val="見出し #1|1_"/>
    <w:basedOn w:val="a0"/>
    <w:link w:val="110"/>
    <w:rPr>
      <w:rFonts w:ascii="ＭＳ 明朝" w:eastAsia="ＭＳ 明朝" w:hAnsi="ＭＳ 明朝" w:cs="ＭＳ 明朝"/>
      <w:b/>
      <w:bCs/>
      <w:i w:val="0"/>
      <w:iCs w:val="0"/>
      <w:smallCaps w:val="0"/>
      <w:strike w:val="0"/>
      <w:color w:val="231F20"/>
      <w:sz w:val="26"/>
      <w:szCs w:val="26"/>
      <w:u w:val="none"/>
    </w:rPr>
  </w:style>
  <w:style w:type="character" w:customStyle="1" w:styleId="2">
    <w:name w:val="ヘッダーまたはフッター|2_"/>
    <w:basedOn w:val="a0"/>
    <w:link w:val="20"/>
    <w:rPr>
      <w:b w:val="0"/>
      <w:bCs w:val="0"/>
      <w:i w:val="0"/>
      <w:iCs w:val="0"/>
      <w:smallCaps w:val="0"/>
      <w:strike w:val="0"/>
      <w:sz w:val="20"/>
      <w:szCs w:val="20"/>
      <w:u w:val="none"/>
    </w:rPr>
  </w:style>
  <w:style w:type="character" w:customStyle="1" w:styleId="21">
    <w:name w:val="見出し #2|1_"/>
    <w:basedOn w:val="a0"/>
    <w:link w:val="210"/>
    <w:rPr>
      <w:rFonts w:ascii="ＭＳ 明朝" w:eastAsia="ＭＳ 明朝" w:hAnsi="ＭＳ 明朝" w:cs="ＭＳ 明朝"/>
      <w:b/>
      <w:bCs/>
      <w:i w:val="0"/>
      <w:iCs w:val="0"/>
      <w:smallCaps w:val="0"/>
      <w:strike w:val="0"/>
      <w:color w:val="008CD0"/>
      <w:sz w:val="20"/>
      <w:szCs w:val="20"/>
      <w:u w:val="none"/>
      <w:lang w:val="ja-JP" w:eastAsia="ja-JP" w:bidi="ja-JP"/>
    </w:rPr>
  </w:style>
  <w:style w:type="character" w:customStyle="1" w:styleId="12">
    <w:name w:val="ヘッダーまたはフッター|1_"/>
    <w:basedOn w:val="a0"/>
    <w:link w:val="13"/>
    <w:rPr>
      <w:rFonts w:ascii="Arial" w:eastAsia="Arial" w:hAnsi="Arial" w:cs="Arial"/>
      <w:b w:val="0"/>
      <w:bCs w:val="0"/>
      <w:i w:val="0"/>
      <w:iCs w:val="0"/>
      <w:smallCaps w:val="0"/>
      <w:strike w:val="0"/>
      <w:color w:val="231F20"/>
      <w:sz w:val="20"/>
      <w:szCs w:val="20"/>
      <w:u w:val="none"/>
    </w:rPr>
  </w:style>
  <w:style w:type="character" w:customStyle="1" w:styleId="3">
    <w:name w:val="本文|3_"/>
    <w:basedOn w:val="a0"/>
    <w:link w:val="30"/>
    <w:rPr>
      <w:rFonts w:ascii="ＭＳ 明朝" w:eastAsia="ＭＳ 明朝" w:hAnsi="ＭＳ 明朝" w:cs="ＭＳ 明朝"/>
      <w:b w:val="0"/>
      <w:bCs w:val="0"/>
      <w:i w:val="0"/>
      <w:iCs w:val="0"/>
      <w:smallCaps w:val="0"/>
      <w:strike w:val="0"/>
      <w:color w:val="231F20"/>
      <w:sz w:val="17"/>
      <w:szCs w:val="17"/>
      <w:u w:val="none"/>
      <w:lang w:val="ja-JP" w:eastAsia="ja-JP" w:bidi="ja-JP"/>
    </w:rPr>
  </w:style>
  <w:style w:type="character" w:customStyle="1" w:styleId="22">
    <w:name w:val="本文|2_"/>
    <w:basedOn w:val="a0"/>
    <w:link w:val="23"/>
    <w:rPr>
      <w:b w:val="0"/>
      <w:bCs w:val="0"/>
      <w:i w:val="0"/>
      <w:iCs w:val="0"/>
      <w:smallCaps w:val="0"/>
      <w:strike w:val="0"/>
      <w:color w:val="231F20"/>
      <w:sz w:val="17"/>
      <w:szCs w:val="17"/>
      <w:u w:val="none"/>
    </w:rPr>
  </w:style>
  <w:style w:type="paragraph" w:customStyle="1" w:styleId="10">
    <w:name w:val="本文|1"/>
    <w:basedOn w:val="a"/>
    <w:link w:val="1"/>
    <w:pPr>
      <w:spacing w:line="300" w:lineRule="auto"/>
      <w:ind w:firstLine="180"/>
    </w:pPr>
    <w:rPr>
      <w:rFonts w:ascii="ＭＳ 明朝" w:eastAsia="ＭＳ 明朝" w:hAnsi="ＭＳ 明朝" w:cs="ＭＳ 明朝"/>
      <w:color w:val="231F20"/>
      <w:sz w:val="20"/>
      <w:szCs w:val="20"/>
      <w:lang w:val="ja-JP" w:eastAsia="ja-JP" w:bidi="ja-JP"/>
    </w:rPr>
  </w:style>
  <w:style w:type="paragraph" w:customStyle="1" w:styleId="110">
    <w:name w:val="見出し #1|1"/>
    <w:basedOn w:val="a"/>
    <w:link w:val="11"/>
    <w:pPr>
      <w:outlineLvl w:val="0"/>
    </w:pPr>
    <w:rPr>
      <w:rFonts w:ascii="ＭＳ 明朝" w:eastAsia="ＭＳ 明朝" w:hAnsi="ＭＳ 明朝" w:cs="ＭＳ 明朝"/>
      <w:b/>
      <w:bCs/>
      <w:color w:val="231F20"/>
      <w:sz w:val="26"/>
      <w:szCs w:val="26"/>
    </w:rPr>
  </w:style>
  <w:style w:type="paragraph" w:customStyle="1" w:styleId="20">
    <w:name w:val="ヘッダーまたはフッター|2"/>
    <w:basedOn w:val="a"/>
    <w:link w:val="2"/>
    <w:rPr>
      <w:sz w:val="20"/>
      <w:szCs w:val="20"/>
    </w:rPr>
  </w:style>
  <w:style w:type="paragraph" w:customStyle="1" w:styleId="210">
    <w:name w:val="見出し #2|1"/>
    <w:basedOn w:val="a"/>
    <w:link w:val="21"/>
    <w:pPr>
      <w:spacing w:line="250" w:lineRule="exact"/>
      <w:ind w:firstLine="180"/>
      <w:outlineLvl w:val="1"/>
    </w:pPr>
    <w:rPr>
      <w:rFonts w:ascii="ＭＳ 明朝" w:eastAsia="ＭＳ 明朝" w:hAnsi="ＭＳ 明朝" w:cs="ＭＳ 明朝"/>
      <w:b/>
      <w:bCs/>
      <w:color w:val="008CD0"/>
      <w:sz w:val="20"/>
      <w:szCs w:val="20"/>
      <w:lang w:val="ja-JP" w:eastAsia="ja-JP" w:bidi="ja-JP"/>
    </w:rPr>
  </w:style>
  <w:style w:type="paragraph" w:customStyle="1" w:styleId="13">
    <w:name w:val="ヘッダーまたはフッター|1"/>
    <w:basedOn w:val="a"/>
    <w:link w:val="12"/>
    <w:pPr>
      <w:jc w:val="center"/>
    </w:pPr>
    <w:rPr>
      <w:rFonts w:ascii="Arial" w:eastAsia="Arial" w:hAnsi="Arial" w:cs="Arial"/>
      <w:color w:val="231F20"/>
      <w:sz w:val="20"/>
      <w:szCs w:val="20"/>
    </w:rPr>
  </w:style>
  <w:style w:type="paragraph" w:customStyle="1" w:styleId="30">
    <w:name w:val="本文|3"/>
    <w:basedOn w:val="a"/>
    <w:link w:val="3"/>
    <w:rPr>
      <w:rFonts w:ascii="ＭＳ 明朝" w:eastAsia="ＭＳ 明朝" w:hAnsi="ＭＳ 明朝" w:cs="ＭＳ 明朝"/>
      <w:color w:val="231F20"/>
      <w:sz w:val="17"/>
      <w:szCs w:val="17"/>
      <w:lang w:val="ja-JP" w:eastAsia="ja-JP" w:bidi="ja-JP"/>
    </w:rPr>
  </w:style>
  <w:style w:type="paragraph" w:customStyle="1" w:styleId="23">
    <w:name w:val="本文|2"/>
    <w:basedOn w:val="a"/>
    <w:link w:val="22"/>
    <w:pPr>
      <w:spacing w:after="240"/>
    </w:pPr>
    <w:rPr>
      <w:color w:val="231F20"/>
      <w:sz w:val="17"/>
      <w:szCs w:val="17"/>
    </w:rPr>
  </w:style>
  <w:style w:type="paragraph" w:styleId="a3">
    <w:name w:val="header"/>
    <w:basedOn w:val="a"/>
    <w:link w:val="a4"/>
    <w:uiPriority w:val="99"/>
    <w:unhideWhenUsed/>
    <w:rsid w:val="00DF4EBE"/>
    <w:pPr>
      <w:tabs>
        <w:tab w:val="center" w:pos="4252"/>
        <w:tab w:val="right" w:pos="8504"/>
      </w:tabs>
      <w:snapToGrid w:val="0"/>
    </w:pPr>
  </w:style>
  <w:style w:type="character" w:customStyle="1" w:styleId="a4">
    <w:name w:val="ヘッダー (文字)"/>
    <w:basedOn w:val="a0"/>
    <w:link w:val="a3"/>
    <w:uiPriority w:val="99"/>
    <w:rsid w:val="00DF4EBE"/>
    <w:rPr>
      <w:rFonts w:eastAsia="Times New Roman"/>
      <w:color w:val="000000"/>
    </w:rPr>
  </w:style>
  <w:style w:type="paragraph" w:styleId="a5">
    <w:name w:val="footer"/>
    <w:basedOn w:val="a"/>
    <w:link w:val="a6"/>
    <w:uiPriority w:val="99"/>
    <w:unhideWhenUsed/>
    <w:rsid w:val="00DF4EBE"/>
    <w:pPr>
      <w:tabs>
        <w:tab w:val="center" w:pos="4252"/>
        <w:tab w:val="right" w:pos="8504"/>
      </w:tabs>
      <w:snapToGrid w:val="0"/>
    </w:pPr>
  </w:style>
  <w:style w:type="character" w:customStyle="1" w:styleId="a6">
    <w:name w:val="フッター (文字)"/>
    <w:basedOn w:val="a0"/>
    <w:link w:val="a5"/>
    <w:uiPriority w:val="99"/>
    <w:rsid w:val="00DF4EBE"/>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itakyushu-med.or.jp/b007.html%ef%bc%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349</Words>
  <Characters>1993</Characters>
  <Application>Microsoft Office Word</Application>
  <DocSecurity>0</DocSecurity>
  <Lines>16</Lines>
  <Paragraphs>4</Paragraphs>
  <ScaleCrop>false</ScaleCrop>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医療従事者のための医療安全対策マニュアル（本文）</dc:title>
  <dc:subject/>
  <dc:creator/>
  <cp:keywords/>
  <cp:lastModifiedBy>宇賀神 淳一</cp:lastModifiedBy>
  <cp:revision>8</cp:revision>
  <cp:lastPrinted>2026-05-19T03:27:00Z</cp:lastPrinted>
  <dcterms:created xsi:type="dcterms:W3CDTF">2026-05-15T07:09:00Z</dcterms:created>
  <dcterms:modified xsi:type="dcterms:W3CDTF">2026-05-20T00:24:00Z</dcterms:modified>
</cp:coreProperties>
</file>